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022E77">
      <w:pPr>
        <w:spacing w:before="60" w:after="60"/>
        <w:jc w:val="center"/>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1D7803" w:rsidRPr="00ED263F"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0D23B0" w:rsidP="001D7803">
      <w:pPr>
        <w:numPr>
          <w:ilvl w:val="0"/>
          <w:numId w:val="1"/>
        </w:numPr>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lastRenderedPageBreak/>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0D23B0" w:rsidP="001D7803">
      <w:pPr>
        <w:shd w:val="clear" w:color="auto" w:fill="FFFFFF"/>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0D23B0">
        <w:rPr>
          <w:rFonts w:ascii="Arial" w:hAnsi="Arial"/>
          <w:sz w:val="22"/>
          <w:szCs w:val="22"/>
        </w:rPr>
        <w:t xml:space="preserve"> Child Protection Issues is</w:t>
      </w:r>
      <w:r w:rsidR="001D7803">
        <w:rPr>
          <w:rFonts w:ascii="Arial" w:hAnsi="Arial"/>
          <w:sz w:val="22"/>
          <w:szCs w:val="22"/>
        </w:rPr>
        <w:t xml:space="preserve">: </w:t>
      </w:r>
      <w:r w:rsidR="000D23B0">
        <w:rPr>
          <w:rFonts w:ascii="Arial" w:hAnsi="Arial"/>
          <w:b/>
          <w:sz w:val="22"/>
          <w:szCs w:val="22"/>
        </w:rPr>
        <w:t>Carly Gold</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Michelle Wisbey</w:t>
      </w:r>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lastRenderedPageBreak/>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0D23B0" w:rsidP="001D7803">
      <w:pPr>
        <w:shd w:val="clear" w:color="auto" w:fill="FFFFFF"/>
        <w:spacing w:before="60" w:after="60"/>
        <w:rPr>
          <w:rFonts w:ascii="Arial" w:hAnsi="Arial"/>
          <w:sz w:val="22"/>
          <w:szCs w:val="22"/>
        </w:rPr>
      </w:pPr>
      <w:r>
        <w:rPr>
          <w:rFonts w:ascii="Arial" w:hAnsi="Arial"/>
          <w:sz w:val="22"/>
          <w:szCs w:val="22"/>
        </w:rPr>
        <w:t>Flitch Green</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lastRenderedPageBreak/>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C6099A" w:rsidRPr="00C6099A" w:rsidRDefault="00C6099A" w:rsidP="00C6099A">
      <w:pPr>
        <w:numPr>
          <w:ilvl w:val="0"/>
          <w:numId w:val="17"/>
        </w:numPr>
        <w:spacing w:before="60" w:after="60"/>
        <w:rPr>
          <w:rFonts w:ascii="Arial" w:hAnsi="Arial"/>
          <w:sz w:val="22"/>
          <w:szCs w:val="22"/>
        </w:rPr>
      </w:pPr>
      <w:proofErr w:type="gramStart"/>
      <w:r>
        <w:rPr>
          <w:rFonts w:ascii="Arial" w:hAnsi="Arial"/>
          <w:sz w:val="22"/>
          <w:szCs w:val="22"/>
        </w:rPr>
        <w:t>information</w:t>
      </w:r>
      <w:proofErr w:type="gramEnd"/>
      <w:r>
        <w:rPr>
          <w:rFonts w:ascii="Arial" w:hAnsi="Arial"/>
          <w:sz w:val="22"/>
          <w:szCs w:val="22"/>
        </w:rPr>
        <w:t xml:space="preserve"> on the child’s developmental needs and how they are being met. </w:t>
      </w: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spacing w:before="60" w:after="60"/>
        <w:ind w:left="360"/>
        <w:rPr>
          <w:rFonts w:ascii="Arial" w:hAnsi="Arial"/>
          <w:sz w:val="22"/>
          <w:szCs w:val="22"/>
        </w:rPr>
      </w:pP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0D23B0" w:rsidP="00D90BE6">
      <w:pPr>
        <w:autoSpaceDE w:val="0"/>
        <w:autoSpaceDN w:val="0"/>
        <w:adjustRightInd w:val="0"/>
        <w:jc w:val="center"/>
        <w:rPr>
          <w:rFonts w:ascii="Arial" w:hAnsi="Arial" w:cs="Arial"/>
          <w:b/>
          <w:bCs/>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00FC2B6F" wp14:editId="651AEF41">
                <wp:simplePos x="0" y="0"/>
                <wp:positionH relativeFrom="column">
                  <wp:posOffset>88900</wp:posOffset>
                </wp:positionH>
                <wp:positionV relativeFrom="paragraph">
                  <wp:posOffset>116205</wp:posOffset>
                </wp:positionV>
                <wp:extent cx="5372100" cy="62738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2738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0D23B0" w:rsidRDefault="004E5FAB" w:rsidP="000D23B0">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9.15pt;width:423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0D23B0" w:rsidRDefault="004E5FAB" w:rsidP="000D23B0">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ind w:left="720"/>
        <w:rPr>
          <w:rFonts w:ascii="Arial" w:hAnsi="Arial"/>
          <w:sz w:val="22"/>
          <w:szCs w:val="22"/>
        </w:rPr>
      </w:pP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lastRenderedPageBreak/>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3B6734" w:rsidRDefault="003B6734" w:rsidP="004C77E8">
      <w:pPr>
        <w:spacing w:before="60" w:after="60"/>
        <w:rPr>
          <w:rFonts w:ascii="Arial" w:hAnsi="Arial"/>
          <w:sz w:val="22"/>
          <w:szCs w:val="22"/>
        </w:rPr>
      </w:pPr>
    </w:p>
    <w:p w:rsidR="00986624" w:rsidRDefault="00986624" w:rsidP="001D7803">
      <w:pPr>
        <w:spacing w:before="60" w:after="60"/>
        <w:rPr>
          <w:rFonts w:ascii="Arial" w:hAnsi="Arial"/>
          <w:b/>
          <w:sz w:val="22"/>
          <w:szCs w:val="22"/>
        </w:rPr>
      </w:pPr>
    </w:p>
    <w:p w:rsidR="00986624" w:rsidRDefault="0098662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0D23B0"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Flitch Green</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1D7803" w:rsidRPr="00ED263F" w:rsidRDefault="001D7803" w:rsidP="001D7803">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3B6734" w:rsidRDefault="003B6734" w:rsidP="001D7803">
      <w:pPr>
        <w:pStyle w:val="ListParagraph"/>
        <w:contextualSpacing/>
        <w:rPr>
          <w:rFonts w:ascii="Arial" w:hAnsi="Arial" w:cs="Arial"/>
          <w:sz w:val="22"/>
          <w:szCs w:val="22"/>
        </w:rPr>
      </w:pPr>
    </w:p>
    <w:p w:rsidR="0068205C" w:rsidRDefault="0068205C" w:rsidP="001D7803">
      <w:pPr>
        <w:rPr>
          <w:rFonts w:ascii="Arial" w:hAnsi="Arial" w:cs="Arial"/>
          <w:b/>
          <w:sz w:val="22"/>
          <w:szCs w:val="22"/>
        </w:rPr>
      </w:pPr>
    </w:p>
    <w:p w:rsidR="001D7803" w:rsidRPr="008557BD" w:rsidRDefault="001D7803" w:rsidP="001D7803">
      <w:pPr>
        <w:rPr>
          <w:rFonts w:ascii="Arial" w:hAnsi="Arial" w:cs="Arial"/>
          <w:b/>
          <w:sz w:val="22"/>
          <w:szCs w:val="22"/>
        </w:rPr>
      </w:pPr>
      <w:r>
        <w:rPr>
          <w:rFonts w:ascii="Arial" w:hAnsi="Arial" w:cs="Arial"/>
          <w:b/>
          <w:sz w:val="22"/>
          <w:szCs w:val="22"/>
        </w:rPr>
        <w:lastRenderedPageBreak/>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CE210B" w:rsidRDefault="00CE210B" w:rsidP="00CE210B">
      <w:pPr>
        <w:contextualSpacing/>
        <w:rPr>
          <w:rFonts w:ascii="Arial" w:hAnsi="Arial" w:cs="Arial"/>
          <w:sz w:val="22"/>
          <w:szCs w:val="22"/>
        </w:rPr>
      </w:pPr>
    </w:p>
    <w:p w:rsidR="00CE210B" w:rsidRPr="00CE210B" w:rsidRDefault="00CE210B" w:rsidP="00CE210B">
      <w:pPr>
        <w:pStyle w:val="PlainText"/>
        <w:rPr>
          <w:rFonts w:ascii="Arial" w:hAnsi="Arial" w:cs="Arial"/>
          <w:b/>
          <w:sz w:val="22"/>
          <w:szCs w:val="22"/>
        </w:rPr>
      </w:pPr>
      <w:r w:rsidRPr="00CE210B">
        <w:rPr>
          <w:rFonts w:ascii="Arial" w:hAnsi="Arial" w:cs="Arial"/>
          <w:b/>
          <w:sz w:val="22"/>
          <w:szCs w:val="22"/>
        </w:rPr>
        <w:t>Online Children's Record Keeping System</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E210B" w:rsidRPr="00CE210B" w:rsidRDefault="00CE210B" w:rsidP="00CE210B">
      <w:pPr>
        <w:pStyle w:val="PlainText"/>
        <w:rPr>
          <w:rFonts w:ascii="Arial" w:hAnsi="Arial" w:cs="Arial"/>
          <w:sz w:val="22"/>
          <w:szCs w:val="22"/>
        </w:rPr>
      </w:pPr>
    </w:p>
    <w:p w:rsid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sidR="007D0B8F">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sidR="007D0B8F">
        <w:rPr>
          <w:rFonts w:ascii="Arial" w:hAnsi="Arial" w:cs="Arial"/>
          <w:sz w:val="22"/>
          <w:szCs w:val="22"/>
        </w:rPr>
        <w:t xml:space="preserve">the online system </w:t>
      </w:r>
      <w:r w:rsidRPr="00CE210B">
        <w:rPr>
          <w:rFonts w:ascii="Arial" w:hAnsi="Arial" w:cs="Arial"/>
          <w:sz w:val="22"/>
          <w:szCs w:val="22"/>
        </w:rPr>
        <w:t>will be terminated.</w:t>
      </w:r>
      <w:bookmarkStart w:id="0" w:name="_GoBack"/>
      <w:bookmarkEnd w:id="0"/>
    </w:p>
    <w:p w:rsidR="00CE210B" w:rsidRPr="00CE210B" w:rsidRDefault="00CE210B" w:rsidP="00CE210B">
      <w:pPr>
        <w:contextualSpacing/>
        <w:rPr>
          <w:rFonts w:ascii="Arial" w:hAnsi="Arial" w:cs="Arial"/>
          <w:sz w:val="22"/>
          <w:szCs w:val="22"/>
        </w:rPr>
      </w:pPr>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0D23B0" w:rsidRPr="000D23B0" w:rsidRDefault="001D7803" w:rsidP="000D23B0">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A268F" w:rsidRDefault="001D7803" w:rsidP="000D23B0">
      <w:pPr>
        <w:pStyle w:val="Default"/>
        <w:rPr>
          <w:rFonts w:ascii="Arial" w:hAnsi="Arial" w:cs="Arial"/>
          <w:sz w:val="22"/>
          <w:szCs w:val="22"/>
        </w:rPr>
      </w:pPr>
      <w:r w:rsidRPr="000D23B0">
        <w:rPr>
          <w:rFonts w:ascii="Arial" w:hAnsi="Arial" w:cs="Arial"/>
          <w:b/>
          <w:sz w:val="22"/>
          <w:szCs w:val="22"/>
        </w:rPr>
        <w:lastRenderedPageBreak/>
        <w:t>Radicalisation &amp; Terrorism</w:t>
      </w:r>
      <w:r w:rsidR="000D23B0">
        <w:rPr>
          <w:rFonts w:ascii="Arial" w:hAnsi="Arial" w:cs="Arial"/>
          <w:b/>
          <w:sz w:val="22"/>
          <w:szCs w:val="22"/>
        </w:rPr>
        <w:t xml:space="preserve">-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lastRenderedPageBreak/>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r w:rsidRPr="00852EAE">
        <w:rPr>
          <w:rFonts w:ascii="Arial" w:hAnsi="Arial" w:cs="Arial"/>
          <w:b/>
          <w:sz w:val="22"/>
          <w:szCs w:val="22"/>
        </w:rPr>
        <w:lastRenderedPageBreak/>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lastRenderedPageBreak/>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D60ED5"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D60ED5"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D5" w:rsidRDefault="00D60ED5" w:rsidP="001D7803">
      <w:r>
        <w:separator/>
      </w:r>
    </w:p>
  </w:endnote>
  <w:endnote w:type="continuationSeparator" w:id="0">
    <w:p w:rsidR="00D60ED5" w:rsidRDefault="00D60ED5"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r w:rsidR="00022E77">
      <w:t>, Sept 18,</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D5" w:rsidRDefault="00D60ED5" w:rsidP="001D7803">
      <w:r>
        <w:separator/>
      </w:r>
    </w:p>
  </w:footnote>
  <w:footnote w:type="continuationSeparator" w:id="0">
    <w:p w:rsidR="00D60ED5" w:rsidRDefault="00D60ED5"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Default="000D23B0" w:rsidP="001D7803">
    <w:pPr>
      <w:pStyle w:val="Header"/>
      <w:jc w:val="center"/>
    </w:pPr>
    <w:r>
      <w:rPr>
        <w:noProof/>
      </w:rPr>
      <w:drawing>
        <wp:inline distT="0" distB="0" distL="0" distR="0" wp14:anchorId="5BF3731D" wp14:editId="25941061">
          <wp:extent cx="2057400" cy="1082950"/>
          <wp:effectExtent l="0" t="0" r="0" b="3175"/>
          <wp:docPr id="1" name="Picture 0" descr="Fli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tch Logo.jpg"/>
                  <pic:cNvPicPr/>
                </pic:nvPicPr>
                <pic:blipFill>
                  <a:blip r:embed="rId1"/>
                  <a:stretch>
                    <a:fillRect/>
                  </a:stretch>
                </pic:blipFill>
                <pic:spPr>
                  <a:xfrm>
                    <a:off x="0" y="0"/>
                    <a:ext cx="2066977" cy="10879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22E77"/>
    <w:rsid w:val="000A1A75"/>
    <w:rsid w:val="000C26FF"/>
    <w:rsid w:val="000D23B0"/>
    <w:rsid w:val="0016049D"/>
    <w:rsid w:val="001620AC"/>
    <w:rsid w:val="001D7803"/>
    <w:rsid w:val="001E3121"/>
    <w:rsid w:val="00203301"/>
    <w:rsid w:val="002265F9"/>
    <w:rsid w:val="002663D6"/>
    <w:rsid w:val="002754DE"/>
    <w:rsid w:val="0027591D"/>
    <w:rsid w:val="00284613"/>
    <w:rsid w:val="002A136D"/>
    <w:rsid w:val="002B6D1D"/>
    <w:rsid w:val="002C4C57"/>
    <w:rsid w:val="00315D2D"/>
    <w:rsid w:val="003251AA"/>
    <w:rsid w:val="003B6734"/>
    <w:rsid w:val="00483CE0"/>
    <w:rsid w:val="0048441A"/>
    <w:rsid w:val="00493055"/>
    <w:rsid w:val="004B27FF"/>
    <w:rsid w:val="004C77E8"/>
    <w:rsid w:val="004E5FAB"/>
    <w:rsid w:val="0051386C"/>
    <w:rsid w:val="005B340F"/>
    <w:rsid w:val="005B58F7"/>
    <w:rsid w:val="005D2439"/>
    <w:rsid w:val="005F37D4"/>
    <w:rsid w:val="006236AD"/>
    <w:rsid w:val="0068205C"/>
    <w:rsid w:val="00684B4C"/>
    <w:rsid w:val="006E7C0F"/>
    <w:rsid w:val="006F6A83"/>
    <w:rsid w:val="00750A54"/>
    <w:rsid w:val="007D0B8F"/>
    <w:rsid w:val="007D1B9C"/>
    <w:rsid w:val="008E45D4"/>
    <w:rsid w:val="00927E7A"/>
    <w:rsid w:val="00986624"/>
    <w:rsid w:val="009B2991"/>
    <w:rsid w:val="00A14AFD"/>
    <w:rsid w:val="00AA7C93"/>
    <w:rsid w:val="00AC40D5"/>
    <w:rsid w:val="00AD49DC"/>
    <w:rsid w:val="00AD5C11"/>
    <w:rsid w:val="00AE6857"/>
    <w:rsid w:val="00B01859"/>
    <w:rsid w:val="00B3158A"/>
    <w:rsid w:val="00B34A3A"/>
    <w:rsid w:val="00BE551C"/>
    <w:rsid w:val="00C07CF0"/>
    <w:rsid w:val="00C6099A"/>
    <w:rsid w:val="00C62A05"/>
    <w:rsid w:val="00CC698C"/>
    <w:rsid w:val="00CE210B"/>
    <w:rsid w:val="00D25F67"/>
    <w:rsid w:val="00D60ED5"/>
    <w:rsid w:val="00D90BE6"/>
    <w:rsid w:val="00DC25D9"/>
    <w:rsid w:val="00DD18D5"/>
    <w:rsid w:val="00DE2150"/>
    <w:rsid w:val="00DF3D58"/>
    <w:rsid w:val="00E37313"/>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528324810">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Westwood 4</cp:lastModifiedBy>
  <cp:revision>5</cp:revision>
  <dcterms:created xsi:type="dcterms:W3CDTF">2018-09-20T11:36:00Z</dcterms:created>
  <dcterms:modified xsi:type="dcterms:W3CDTF">2018-10-01T10:38:00Z</dcterms:modified>
</cp:coreProperties>
</file>